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77777777" w:rsidR="006174E2" w:rsidRDefault="006174E2" w:rsidP="006174E2">
      <w:pPr>
        <w:outlineLvl w:val="3"/>
        <w:rPr>
          <w:rFonts w:asciiTheme="minorHAnsi" w:hAnsiTheme="minorHAnsi" w:cstheme="minorHAnsi"/>
        </w:rPr>
      </w:pPr>
    </w:p>
    <w:p w14:paraId="063A9B88" w14:textId="286C7FDA" w:rsidR="000763E9" w:rsidRPr="00FF1CCA" w:rsidRDefault="00A169AF" w:rsidP="006174E2">
      <w:pPr>
        <w:outlineLvl w:val="3"/>
        <w:rPr>
          <w:rFonts w:ascii="Titillium" w:hAnsi="Titillium" w:cstheme="minorHAnsi"/>
          <w:lang w:val="en-US"/>
        </w:rPr>
      </w:pPr>
      <w:proofErr w:type="spellStart"/>
      <w:r w:rsidRPr="00FF1CCA">
        <w:rPr>
          <w:rFonts w:ascii="Titillium" w:hAnsi="Titillium" w:cstheme="minorHAnsi"/>
          <w:lang w:val="en-US"/>
        </w:rPr>
        <w:t>Presseinformation</w:t>
      </w:r>
      <w:proofErr w:type="spellEnd"/>
      <w:r w:rsidRPr="00FF1CCA">
        <w:rPr>
          <w:rFonts w:ascii="Titillium" w:hAnsi="Titillium" w:cstheme="minorHAnsi"/>
          <w:lang w:val="en-US"/>
        </w:rPr>
        <w:t xml:space="preserve"> / </w:t>
      </w:r>
      <w:r w:rsidR="003708A0">
        <w:rPr>
          <w:rFonts w:ascii="Titillium" w:hAnsi="Titillium" w:cstheme="minorHAnsi"/>
          <w:lang w:val="en-US"/>
        </w:rPr>
        <w:t>19</w:t>
      </w:r>
      <w:r w:rsidR="00FE5A01" w:rsidRPr="00FF1CCA">
        <w:rPr>
          <w:rFonts w:ascii="Titillium" w:hAnsi="Titillium" w:cstheme="minorHAnsi"/>
          <w:lang w:val="en-US"/>
        </w:rPr>
        <w:t xml:space="preserve">. </w:t>
      </w:r>
      <w:proofErr w:type="spellStart"/>
      <w:r w:rsidR="00F56010">
        <w:rPr>
          <w:rFonts w:ascii="Titillium" w:hAnsi="Titillium" w:cstheme="minorHAnsi"/>
          <w:lang w:val="en-US"/>
        </w:rPr>
        <w:t>Oktober</w:t>
      </w:r>
      <w:proofErr w:type="spellEnd"/>
      <w:r w:rsidR="00FE5A01" w:rsidRPr="00FF1CCA">
        <w:rPr>
          <w:rFonts w:ascii="Titillium" w:hAnsi="Titillium" w:cstheme="minorHAnsi"/>
          <w:lang w:val="en-US"/>
        </w:rPr>
        <w:t xml:space="preserve"> 2021</w:t>
      </w:r>
      <w:r w:rsidR="00713EFF" w:rsidRPr="00FF1CCA">
        <w:rPr>
          <w:rFonts w:ascii="Titillium" w:hAnsi="Titillium" w:cstheme="minorHAnsi"/>
          <w:lang w:val="en-US"/>
        </w:rPr>
        <w:t xml:space="preserve"> / </w:t>
      </w:r>
      <w:r w:rsidRPr="00FF1CCA">
        <w:rPr>
          <w:rFonts w:ascii="Titillium" w:hAnsi="Titillium" w:cstheme="minorHAnsi"/>
          <w:lang w:val="en-US"/>
        </w:rPr>
        <w:t xml:space="preserve">MTC Micro Tech Components GmbH / </w:t>
      </w:r>
      <w:hyperlink r:id="rId7" w:history="1">
        <w:r w:rsidR="00051F5E" w:rsidRPr="00FF1CCA">
          <w:rPr>
            <w:rStyle w:val="Hyperlink"/>
            <w:rFonts w:ascii="Titillium" w:hAnsi="Titillium" w:cstheme="minorHAnsi"/>
            <w:lang w:val="en-US"/>
          </w:rPr>
          <w:t>www.mtc.de</w:t>
        </w:r>
      </w:hyperlink>
      <w:r w:rsidR="002D3749" w:rsidRPr="00FF1CCA">
        <w:rPr>
          <w:rFonts w:ascii="Titillium" w:hAnsi="Titillium" w:cstheme="minorHAnsi"/>
          <w:lang w:val="en-US"/>
        </w:rPr>
        <w:t xml:space="preserve"> </w:t>
      </w:r>
    </w:p>
    <w:p w14:paraId="514A4DDB" w14:textId="77777777" w:rsidR="004A046F" w:rsidRPr="00FF1CCA" w:rsidRDefault="004A046F" w:rsidP="00296CD6">
      <w:pPr>
        <w:spacing w:before="100" w:beforeAutospacing="1" w:after="100" w:afterAutospacing="1"/>
        <w:outlineLvl w:val="3"/>
        <w:rPr>
          <w:rFonts w:ascii="Titillium" w:hAnsi="Titillium" w:cstheme="minorHAnsi"/>
          <w:b/>
          <w:bCs/>
          <w:sz w:val="22"/>
          <w:szCs w:val="22"/>
          <w:lang w:val="en-US"/>
        </w:rPr>
      </w:pPr>
    </w:p>
    <w:p w14:paraId="24444107" w14:textId="4D7BA105" w:rsidR="00C3469C" w:rsidRDefault="00F242CE" w:rsidP="00E548AD">
      <w:pPr>
        <w:rPr>
          <w:rFonts w:ascii="Titillium" w:hAnsi="Titillium" w:cstheme="minorHAnsi"/>
          <w:b/>
          <w:bCs/>
          <w:sz w:val="36"/>
          <w:szCs w:val="36"/>
        </w:rPr>
      </w:pPr>
      <w:r w:rsidRPr="00F242CE">
        <w:rPr>
          <w:rFonts w:ascii="Titillium" w:hAnsi="Titillium" w:cstheme="minorHAnsi"/>
          <w:b/>
          <w:bCs/>
          <w:sz w:val="36"/>
          <w:szCs w:val="36"/>
        </w:rPr>
        <w:t>MTC stellt innovatives Hybrid-Material für kombinierte EMI-Dämpfung und Wärmeman</w:t>
      </w:r>
      <w:r w:rsidR="009E3CE8">
        <w:rPr>
          <w:rFonts w:ascii="Titillium" w:hAnsi="Titillium" w:cstheme="minorHAnsi"/>
          <w:b/>
          <w:bCs/>
          <w:sz w:val="36"/>
          <w:szCs w:val="36"/>
        </w:rPr>
        <w:t>a</w:t>
      </w:r>
      <w:r w:rsidRPr="00F242CE">
        <w:rPr>
          <w:rFonts w:ascii="Titillium" w:hAnsi="Titillium" w:cstheme="minorHAnsi"/>
          <w:b/>
          <w:bCs/>
          <w:sz w:val="36"/>
          <w:szCs w:val="36"/>
        </w:rPr>
        <w:t>gement vor</w:t>
      </w:r>
    </w:p>
    <w:p w14:paraId="172889FB" w14:textId="09423356" w:rsidR="00F242CE" w:rsidRDefault="00F242CE" w:rsidP="00E548AD">
      <w:pPr>
        <w:rPr>
          <w:rFonts w:ascii="Titillium" w:hAnsi="Titillium" w:cstheme="minorHAnsi"/>
          <w:b/>
          <w:bCs/>
          <w:sz w:val="36"/>
          <w:szCs w:val="36"/>
        </w:rPr>
      </w:pPr>
    </w:p>
    <w:p w14:paraId="4BB812DA" w14:textId="77777777" w:rsidR="00F242CE" w:rsidRPr="00573221" w:rsidRDefault="00F242CE" w:rsidP="00E548AD">
      <w:pPr>
        <w:rPr>
          <w:rFonts w:ascii="Titillium" w:hAnsi="Titillium" w:cstheme="minorHAnsi"/>
        </w:rPr>
      </w:pPr>
    </w:p>
    <w:p w14:paraId="517CEA24" w14:textId="77777777" w:rsidR="00F242CE" w:rsidRPr="00C01F19" w:rsidRDefault="00F242CE" w:rsidP="00F242CE">
      <w:pPr>
        <w:tabs>
          <w:tab w:val="left" w:pos="3644"/>
        </w:tabs>
        <w:jc w:val="both"/>
        <w:rPr>
          <w:rFonts w:ascii="Titillium" w:hAnsi="Titillium" w:cstheme="minorHAnsi"/>
        </w:rPr>
      </w:pPr>
      <w:r w:rsidRPr="00C01F19">
        <w:rPr>
          <w:rFonts w:ascii="Titillium" w:hAnsi="Titillium" w:cstheme="minorHAnsi"/>
        </w:rPr>
        <w:t xml:space="preserve">Mit der neuen TCMWA-Serie erweitert die MTC Micro Tech Components GmbH das umfangreiche Portfolio wärmeleitender Produkte. Das thermisch leitende und gleichzeitig absorbierende Hybrid-Material verbindet auf ideale Weise die Eigenschaften von Wärmeleitpads und Mikrowellenabsorbern und ist </w:t>
      </w:r>
      <w:r>
        <w:rPr>
          <w:rFonts w:ascii="Titillium" w:hAnsi="Titillium" w:cstheme="minorHAnsi"/>
        </w:rPr>
        <w:t>in</w:t>
      </w:r>
      <w:r w:rsidRPr="00C01F19">
        <w:rPr>
          <w:rFonts w:ascii="Titillium" w:hAnsi="Titillium" w:cstheme="minorHAnsi"/>
        </w:rPr>
        <w:t xml:space="preserve"> eine</w:t>
      </w:r>
      <w:r>
        <w:rPr>
          <w:rFonts w:ascii="Titillium" w:hAnsi="Titillium" w:cstheme="minorHAnsi"/>
        </w:rPr>
        <w:t>r</w:t>
      </w:r>
      <w:r w:rsidRPr="00C01F19">
        <w:rPr>
          <w:rFonts w:ascii="Titillium" w:hAnsi="Titillium" w:cstheme="minorHAnsi"/>
        </w:rPr>
        <w:t xml:space="preserve"> Vielzahl von Anwendungen </w:t>
      </w:r>
      <w:r>
        <w:rPr>
          <w:rFonts w:ascii="Titillium" w:hAnsi="Titillium" w:cstheme="minorHAnsi"/>
        </w:rPr>
        <w:t>einsetzbar</w:t>
      </w:r>
      <w:r w:rsidRPr="00C01F19">
        <w:rPr>
          <w:rFonts w:ascii="Titillium" w:hAnsi="Titillium" w:cstheme="minorHAnsi"/>
        </w:rPr>
        <w:t xml:space="preserve">, u.a. in den Bereichen Telekommunikation, 5G- und Wireless-Infrastruktur, IoT/Industrie 4.0, Luft- und Raumfahrt, Netzwerk- und Cloudanwendungen, Medizintechnik sowie mobile Systeme. Lieferbar sind Standardplatten sowie kundenspezifische Stanz- oder Formteil mit Materialstärken von 0,5 bis 12 mm. </w:t>
      </w:r>
    </w:p>
    <w:p w14:paraId="402F4EDB" w14:textId="77777777" w:rsidR="00F242CE" w:rsidRPr="00C01F19" w:rsidRDefault="00F242CE" w:rsidP="00F242CE">
      <w:pPr>
        <w:tabs>
          <w:tab w:val="left" w:pos="3644"/>
        </w:tabs>
        <w:jc w:val="both"/>
        <w:rPr>
          <w:rFonts w:ascii="Titillium" w:hAnsi="Titillium" w:cstheme="minorHAnsi"/>
        </w:rPr>
      </w:pPr>
    </w:p>
    <w:p w14:paraId="71F0F0FC" w14:textId="77777777" w:rsidR="00F242CE" w:rsidRPr="00C01F19" w:rsidRDefault="00F242CE" w:rsidP="00F242CE">
      <w:pPr>
        <w:tabs>
          <w:tab w:val="left" w:pos="3644"/>
        </w:tabs>
        <w:jc w:val="both"/>
        <w:rPr>
          <w:rFonts w:ascii="Titillium" w:hAnsi="Titillium" w:cstheme="minorHAnsi"/>
          <w:b/>
          <w:bCs/>
        </w:rPr>
      </w:pPr>
      <w:r w:rsidRPr="00C01F19">
        <w:rPr>
          <w:rFonts w:ascii="Titillium" w:hAnsi="Titillium" w:cstheme="minorHAnsi"/>
          <w:b/>
          <w:bCs/>
        </w:rPr>
        <w:t xml:space="preserve">Innovative Hybrid-Lösung aus Wärmeleiter und EMI-Absorber </w:t>
      </w:r>
    </w:p>
    <w:p w14:paraId="4359F40D" w14:textId="77777777" w:rsidR="00F242CE" w:rsidRDefault="00F242CE" w:rsidP="00F242CE">
      <w:pPr>
        <w:tabs>
          <w:tab w:val="left" w:pos="3644"/>
        </w:tabs>
        <w:jc w:val="both"/>
        <w:rPr>
          <w:rFonts w:ascii="Titillium" w:hAnsi="Titillium" w:cstheme="minorHAnsi"/>
        </w:rPr>
      </w:pPr>
      <w:r w:rsidRPr="00C01F19">
        <w:rPr>
          <w:rFonts w:ascii="Titillium" w:hAnsi="Titillium" w:cstheme="minorHAnsi"/>
        </w:rPr>
        <w:t xml:space="preserve">In der Applikation wird das weiche Material wie ein klassisches Gap Pad spaltfüllend zum Wärmetransport zwischen Wärmequelle und Kühlelement eingesetzt. </w:t>
      </w:r>
    </w:p>
    <w:p w14:paraId="6CF45DFA" w14:textId="1E0A8326" w:rsidR="00F242CE" w:rsidRPr="00FE5A01" w:rsidRDefault="00F242CE" w:rsidP="00F242CE">
      <w:pPr>
        <w:tabs>
          <w:tab w:val="left" w:pos="3644"/>
        </w:tabs>
        <w:jc w:val="both"/>
        <w:rPr>
          <w:rFonts w:ascii="Titillium" w:hAnsi="Titillium" w:cstheme="minorHAnsi"/>
        </w:rPr>
      </w:pPr>
      <w:r w:rsidRPr="00C01F19">
        <w:rPr>
          <w:rFonts w:ascii="Titillium" w:hAnsi="Titillium" w:cstheme="minorHAnsi"/>
        </w:rPr>
        <w:t xml:space="preserve">Die TCMWA-Serie umfasst drei Produktvarianten mit Wärmeleitfähigkeiten von 2, 3 und 4 W/m*K. Gleichzeitig erfolgt die </w:t>
      </w:r>
      <w:r w:rsidRPr="00FE5A01">
        <w:rPr>
          <w:rFonts w:ascii="Titillium" w:hAnsi="Titillium" w:cstheme="minorHAnsi"/>
        </w:rPr>
        <w:t xml:space="preserve">zuverlässige </w:t>
      </w:r>
      <w:r w:rsidR="00503331" w:rsidRPr="00FE5A01">
        <w:rPr>
          <w:rFonts w:ascii="Titillium" w:hAnsi="Titillium" w:cstheme="minorHAnsi"/>
        </w:rPr>
        <w:t>Absorption</w:t>
      </w:r>
      <w:r w:rsidRPr="00FE5A01">
        <w:rPr>
          <w:rFonts w:ascii="Titillium" w:hAnsi="Titillium" w:cstheme="minorHAnsi"/>
        </w:rPr>
        <w:t xml:space="preserve"> elektromagnetischer </w:t>
      </w:r>
      <w:r w:rsidR="00503331" w:rsidRPr="00FE5A01">
        <w:rPr>
          <w:rFonts w:ascii="Titillium" w:hAnsi="Titillium" w:cstheme="minorHAnsi"/>
        </w:rPr>
        <w:t>Strahlung</w:t>
      </w:r>
      <w:r w:rsidRPr="00FE5A01">
        <w:rPr>
          <w:rFonts w:ascii="Titillium" w:hAnsi="Titillium" w:cstheme="minorHAnsi"/>
        </w:rPr>
        <w:t xml:space="preserve"> (EMI) und problemverursachender Frequenzen bei elektronischen Komponenten, wie beispielsweise ICs, CPUs, MOS- und LED-Treiber. </w:t>
      </w:r>
      <w:r w:rsidR="00503331" w:rsidRPr="00FE5A01">
        <w:rPr>
          <w:rFonts w:ascii="Titillium" w:hAnsi="Titillium" w:cstheme="minorHAnsi"/>
        </w:rPr>
        <w:t>Das Hybrid-Material überzeugt vor allem bei hohen Frequenzen mit einer hervorragenden Dämpfungsleistung.</w:t>
      </w:r>
    </w:p>
    <w:p w14:paraId="75C6360E" w14:textId="77777777" w:rsidR="00F242CE" w:rsidRPr="00FE5A01" w:rsidRDefault="00F242CE" w:rsidP="00F242CE">
      <w:pPr>
        <w:tabs>
          <w:tab w:val="left" w:pos="3644"/>
        </w:tabs>
        <w:jc w:val="both"/>
        <w:rPr>
          <w:rFonts w:ascii="Titillium" w:hAnsi="Titillium" w:cstheme="minorHAnsi"/>
        </w:rPr>
      </w:pPr>
    </w:p>
    <w:p w14:paraId="5014A933" w14:textId="77777777" w:rsidR="00F242CE" w:rsidRPr="00FE5A01" w:rsidRDefault="00F242CE" w:rsidP="00F242CE">
      <w:pPr>
        <w:tabs>
          <w:tab w:val="left" w:pos="3644"/>
        </w:tabs>
        <w:jc w:val="both"/>
        <w:rPr>
          <w:rFonts w:ascii="Titillium" w:hAnsi="Titillium" w:cstheme="minorHAnsi"/>
          <w:b/>
          <w:bCs/>
        </w:rPr>
      </w:pPr>
      <w:r w:rsidRPr="00FE5A01">
        <w:rPr>
          <w:rFonts w:ascii="Titillium" w:hAnsi="Titillium" w:cstheme="minorHAnsi"/>
          <w:b/>
          <w:bCs/>
        </w:rPr>
        <w:t>Optimale Kühlung und EMI-Dämpfung elektronischer Komponenten</w:t>
      </w:r>
    </w:p>
    <w:p w14:paraId="43ABFBF1" w14:textId="3332E5B1" w:rsidR="00F242CE" w:rsidRPr="00C01F19" w:rsidRDefault="00503331" w:rsidP="00503331">
      <w:pPr>
        <w:tabs>
          <w:tab w:val="left" w:pos="3644"/>
        </w:tabs>
        <w:jc w:val="both"/>
        <w:rPr>
          <w:rFonts w:ascii="Titillium" w:hAnsi="Titillium" w:cstheme="minorHAnsi"/>
        </w:rPr>
      </w:pPr>
      <w:r w:rsidRPr="00FE5A01">
        <w:rPr>
          <w:rFonts w:ascii="Titillium" w:hAnsi="Titillium" w:cstheme="minorHAnsi"/>
        </w:rPr>
        <w:t>Um eine Vergrößerung der EMI-Abstrahlfläche zu vermeiden, sollten Kühlkörper nicht direkt auf eine abstrahlende Komponente montiert werden. Hier bietet der thermisch leitende EMI-Absorber als multifunktionaler Gap Filler die ideale Kühl- und EMV-Lösung.</w:t>
      </w:r>
      <w:r w:rsidR="00F242CE" w:rsidRPr="00FE5A01">
        <w:rPr>
          <w:rFonts w:ascii="Titillium" w:hAnsi="Titillium" w:cstheme="minorHAnsi"/>
        </w:rPr>
        <w:t xml:space="preserve"> Das optimierte thermische Management gewährleistet die langjährige Zuverlässigkeit und</w:t>
      </w:r>
      <w:r w:rsidR="00F242CE" w:rsidRPr="00C01F19">
        <w:rPr>
          <w:rFonts w:ascii="Titillium" w:hAnsi="Titillium" w:cstheme="minorHAnsi"/>
        </w:rPr>
        <w:t xml:space="preserve"> Leistung wärmeempfindlicher Elektronik und verbessert gleichzeitig die elektromagnetische Verträglichkeit einzelner Bauteile oder ganzer Baugruppen. Somit lassen sich Fehlerquellen, Ausfallzeiten und Kosten signifikant minimieren. </w:t>
      </w:r>
    </w:p>
    <w:p w14:paraId="37ED3467" w14:textId="77777777" w:rsidR="00F242CE" w:rsidRPr="00C01F19" w:rsidRDefault="00F242CE" w:rsidP="00F242CE">
      <w:pPr>
        <w:tabs>
          <w:tab w:val="left" w:pos="3644"/>
        </w:tabs>
        <w:jc w:val="both"/>
        <w:rPr>
          <w:rFonts w:ascii="Titillium" w:hAnsi="Titillium" w:cstheme="minorHAnsi"/>
        </w:rPr>
      </w:pPr>
    </w:p>
    <w:p w14:paraId="76F8311F" w14:textId="502EE440" w:rsidR="00F242CE" w:rsidRDefault="00F242CE" w:rsidP="00F242CE">
      <w:pPr>
        <w:tabs>
          <w:tab w:val="left" w:pos="3644"/>
        </w:tabs>
        <w:jc w:val="both"/>
        <w:rPr>
          <w:rFonts w:ascii="Titillium" w:hAnsi="Titillium" w:cstheme="minorHAnsi"/>
          <w:b/>
          <w:bCs/>
        </w:rPr>
      </w:pPr>
      <w:r>
        <w:rPr>
          <w:rFonts w:ascii="Titillium" w:hAnsi="Titillium" w:cstheme="minorHAnsi"/>
          <w:b/>
          <w:bCs/>
        </w:rPr>
        <w:br w:type="column"/>
      </w:r>
    </w:p>
    <w:p w14:paraId="31F75041" w14:textId="77777777" w:rsidR="00FE5A01" w:rsidRDefault="00FE5A01" w:rsidP="00F242CE">
      <w:pPr>
        <w:tabs>
          <w:tab w:val="left" w:pos="3644"/>
        </w:tabs>
        <w:jc w:val="both"/>
        <w:rPr>
          <w:rFonts w:ascii="Titillium" w:hAnsi="Titillium" w:cstheme="minorHAnsi"/>
          <w:b/>
          <w:bCs/>
        </w:rPr>
      </w:pPr>
    </w:p>
    <w:p w14:paraId="220023D1" w14:textId="2A8171DE" w:rsidR="00F242CE" w:rsidRPr="00C01F19" w:rsidRDefault="00F242CE" w:rsidP="00F242CE">
      <w:pPr>
        <w:tabs>
          <w:tab w:val="left" w:pos="3644"/>
        </w:tabs>
        <w:jc w:val="both"/>
        <w:rPr>
          <w:rFonts w:ascii="Titillium" w:hAnsi="Titillium" w:cstheme="minorHAnsi"/>
          <w:b/>
          <w:bCs/>
        </w:rPr>
      </w:pPr>
      <w:r w:rsidRPr="00C01F19">
        <w:rPr>
          <w:rFonts w:ascii="Titillium" w:hAnsi="Titillium" w:cstheme="minorHAnsi"/>
          <w:b/>
          <w:bCs/>
        </w:rPr>
        <w:t xml:space="preserve">Multifunktionale Materialkombination </w:t>
      </w:r>
    </w:p>
    <w:p w14:paraId="7A6ADEF1" w14:textId="07D279F2" w:rsidR="00F242CE" w:rsidRPr="00C01F19" w:rsidRDefault="00F242CE" w:rsidP="00F242CE">
      <w:pPr>
        <w:tabs>
          <w:tab w:val="left" w:pos="3644"/>
        </w:tabs>
        <w:jc w:val="both"/>
        <w:rPr>
          <w:rFonts w:ascii="Titillium" w:hAnsi="Titillium" w:cstheme="minorHAnsi"/>
        </w:rPr>
      </w:pPr>
      <w:r w:rsidRPr="00C01F19">
        <w:rPr>
          <w:rFonts w:ascii="Titillium" w:hAnsi="Titillium" w:cstheme="minorHAnsi"/>
        </w:rPr>
        <w:t xml:space="preserve">Das weiche Material der neuen TCMWA-Serie besteht aus einer speziellen Mischung von Silikon und Metall-Keramik-Partikeln, welche dem Hybrid-Absorber sowohl thermisch leitendende als auch elektromagnetisch dämpfende Eigenschaften verleihen. Die TCMWA-Rezeptur ist halogenfrei, RoHS- und REACH-konform und </w:t>
      </w:r>
      <w:r w:rsidR="00FF1CCA">
        <w:rPr>
          <w:rFonts w:ascii="Titillium" w:hAnsi="Titillium" w:cstheme="minorHAnsi"/>
        </w:rPr>
        <w:t xml:space="preserve">wurde nach </w:t>
      </w:r>
      <w:r w:rsidRPr="00C01F19">
        <w:rPr>
          <w:rFonts w:ascii="Titillium" w:hAnsi="Titillium" w:cstheme="minorHAnsi"/>
        </w:rPr>
        <w:t>UL 94 V-0 (Einstufung der Brennbarkeit und Brandsicherheit von Kunststoffen)</w:t>
      </w:r>
      <w:r w:rsidR="00FF1CCA">
        <w:rPr>
          <w:rFonts w:ascii="Titillium" w:hAnsi="Titillium" w:cstheme="minorHAnsi"/>
        </w:rPr>
        <w:t xml:space="preserve"> getestet</w:t>
      </w:r>
      <w:r w:rsidRPr="00C01F19">
        <w:rPr>
          <w:rFonts w:ascii="Titillium" w:hAnsi="Titillium" w:cstheme="minorHAnsi"/>
        </w:rPr>
        <w:t xml:space="preserve">. Der weite Arbeitstemperaturbereich des hochwertigen Materials erstreckt sich von -60 bis +180°C. </w:t>
      </w:r>
    </w:p>
    <w:p w14:paraId="70F7B178" w14:textId="77777777" w:rsidR="00F242CE" w:rsidRPr="00C01F19" w:rsidRDefault="00F242CE" w:rsidP="00F242CE">
      <w:pPr>
        <w:tabs>
          <w:tab w:val="left" w:pos="3644"/>
        </w:tabs>
        <w:jc w:val="both"/>
        <w:rPr>
          <w:rFonts w:ascii="Titillium" w:hAnsi="Titillium" w:cstheme="minorHAnsi"/>
        </w:rPr>
      </w:pPr>
    </w:p>
    <w:p w14:paraId="6960346A" w14:textId="77777777" w:rsidR="00F242CE" w:rsidRPr="00C01F19" w:rsidRDefault="00F242CE" w:rsidP="00F242CE">
      <w:pPr>
        <w:tabs>
          <w:tab w:val="left" w:pos="3644"/>
        </w:tabs>
        <w:jc w:val="both"/>
        <w:rPr>
          <w:rFonts w:ascii="Titillium" w:hAnsi="Titillium" w:cstheme="minorHAnsi"/>
          <w:b/>
          <w:bCs/>
        </w:rPr>
      </w:pPr>
      <w:r w:rsidRPr="00C01F19">
        <w:rPr>
          <w:rFonts w:ascii="Titillium" w:hAnsi="Titillium" w:cstheme="minorHAnsi"/>
          <w:b/>
          <w:bCs/>
        </w:rPr>
        <w:t>Einfache Handhabung und Montage</w:t>
      </w:r>
    </w:p>
    <w:p w14:paraId="2AC7AF09" w14:textId="75BCF6DF" w:rsidR="00F242CE" w:rsidRPr="00C01F19" w:rsidRDefault="00F242CE" w:rsidP="00F242CE">
      <w:pPr>
        <w:tabs>
          <w:tab w:val="left" w:pos="3644"/>
        </w:tabs>
        <w:jc w:val="both"/>
        <w:rPr>
          <w:rFonts w:ascii="Titillium" w:hAnsi="Titillium" w:cstheme="minorHAnsi"/>
        </w:rPr>
      </w:pPr>
      <w:r w:rsidRPr="00C01F19">
        <w:rPr>
          <w:rFonts w:ascii="Titillium" w:hAnsi="Titillium" w:cstheme="minorHAnsi"/>
        </w:rPr>
        <w:t xml:space="preserve">Die Vorder- und Rückseite des natürlich haftenden TCMWA-Materials ist bei der Lieferung mit einer abziehbaren Schutzfolie versehen. </w:t>
      </w:r>
      <w:r w:rsidRPr="00503331">
        <w:rPr>
          <w:rFonts w:ascii="Titillium" w:hAnsi="Titillium" w:cstheme="minorHAnsi"/>
        </w:rPr>
        <w:t xml:space="preserve">Aufgrund </w:t>
      </w:r>
      <w:r w:rsidR="00503331" w:rsidRPr="00FE5A01">
        <w:rPr>
          <w:rFonts w:ascii="Titillium" w:hAnsi="Titillium" w:cstheme="minorHAnsi"/>
        </w:rPr>
        <w:t>diese</w:t>
      </w:r>
      <w:r w:rsidRPr="00FE5A01">
        <w:rPr>
          <w:rFonts w:ascii="Titillium" w:hAnsi="Titillium" w:cstheme="minorHAnsi"/>
        </w:rPr>
        <w:t>r Materialeigenschaft</w:t>
      </w:r>
      <w:r w:rsidRPr="00503331">
        <w:rPr>
          <w:rFonts w:ascii="Titillium" w:hAnsi="Titillium" w:cstheme="minorHAnsi"/>
        </w:rPr>
        <w:t xml:space="preserve"> ist die minimale Bauteilbelastung während der Montage sichergestellt. Die unterschiedlichen Materialstärken der Standardplatten von 0,5 bis 12 mm ermöglichen in der jeweiligen Kundenapplikation den passgenauen Einsatz.</w:t>
      </w:r>
    </w:p>
    <w:p w14:paraId="4992AEA8" w14:textId="77777777" w:rsidR="00F242CE" w:rsidRPr="00C01F19" w:rsidRDefault="00F242CE" w:rsidP="00F242CE">
      <w:pPr>
        <w:tabs>
          <w:tab w:val="num" w:pos="720"/>
        </w:tabs>
        <w:jc w:val="both"/>
        <w:rPr>
          <w:rFonts w:ascii="Titillium" w:hAnsi="Titillium" w:cstheme="minorHAnsi"/>
        </w:rPr>
      </w:pPr>
    </w:p>
    <w:p w14:paraId="1B433A53" w14:textId="77777777" w:rsidR="00F242CE" w:rsidRPr="00C01F19" w:rsidRDefault="00F242CE" w:rsidP="00F242CE">
      <w:pPr>
        <w:jc w:val="both"/>
        <w:rPr>
          <w:rFonts w:ascii="Titillium" w:hAnsi="Titillium" w:cstheme="minorHAnsi"/>
          <w:b/>
          <w:bCs/>
        </w:rPr>
      </w:pPr>
      <w:r w:rsidRPr="00C01F19">
        <w:rPr>
          <w:rFonts w:ascii="Titillium" w:hAnsi="Titillium" w:cstheme="minorHAnsi"/>
          <w:b/>
          <w:bCs/>
        </w:rPr>
        <w:t>MTC Technical Engineering – vom Prototyp bis zur Großserienfertigung</w:t>
      </w:r>
    </w:p>
    <w:p w14:paraId="7D214D14" w14:textId="77777777" w:rsidR="00F242CE" w:rsidRPr="00C01F19" w:rsidRDefault="00F242CE" w:rsidP="00F242CE">
      <w:pPr>
        <w:jc w:val="both"/>
        <w:rPr>
          <w:rFonts w:ascii="Titillium" w:hAnsi="Titillium" w:cstheme="minorHAnsi"/>
        </w:rPr>
      </w:pPr>
      <w:r w:rsidRPr="00C01F19">
        <w:rPr>
          <w:rFonts w:ascii="Titillium" w:hAnsi="Titillium" w:cstheme="minorHAnsi"/>
        </w:rPr>
        <w:t xml:space="preserve">Die MTC Micro Tech Components GmbH ist seit über 25 Jahren Produzent und Lösungsanbieter für Komponenten im Bereich EMV (elektromagnetische Verträglichkeit) und TCP (thermisch leitende Produkte für das Wärmemanagement). Für die erfolgreiche Umsetzung anspruchsvoller Applikationen profitieren Kunden und Systementwickler von umfangreichen Serviceleistungen, langjähriger Erfahrung und professionellem Know-how. Von der Design-In-Beratung und Entwicklungsunterstützung bei Standardprodukten bis hin zur kompletten Umsetzung kundenspezifischer Produktlösungen schätzen Kunden weltweit das persönliche Engagement und die Kompetenz des MTC-Teams. Mit hauseigenen Entwicklungs- und Prüfkapazitäten sowie Produktions- und Vertriebsstandorten in Deutschland, Hongkong und Südkorea überzeugt die MTC Micro Tech Components GmbH als globaler Lieferant für nahezu alle Industriebereiche. </w:t>
      </w:r>
    </w:p>
    <w:p w14:paraId="3C1A4C74" w14:textId="08FFB512" w:rsidR="00977FBD" w:rsidRPr="00573221" w:rsidRDefault="00977FBD" w:rsidP="00977FBD">
      <w:pPr>
        <w:rPr>
          <w:rFonts w:ascii="Titillium" w:hAnsi="Titillium" w:cstheme="minorHAnsi"/>
        </w:rPr>
      </w:pPr>
    </w:p>
    <w:p w14:paraId="410D85B8" w14:textId="54304BB4" w:rsidR="00977FBD" w:rsidRPr="00573221" w:rsidRDefault="00977FBD" w:rsidP="00977FBD">
      <w:pPr>
        <w:rPr>
          <w:rFonts w:ascii="Titillium" w:hAnsi="Titillium" w:cstheme="minorHAnsi"/>
          <w:b/>
          <w:bCs/>
        </w:rPr>
      </w:pPr>
      <w:r w:rsidRPr="00573221">
        <w:rPr>
          <w:rFonts w:ascii="Titillium" w:hAnsi="Titillium" w:cstheme="minorHAnsi"/>
          <w:b/>
          <w:bCs/>
        </w:rPr>
        <w:t>Direktlink zum Produkt „</w:t>
      </w:r>
      <w:r w:rsidR="00F242CE">
        <w:rPr>
          <w:rFonts w:ascii="Titillium" w:hAnsi="Titillium" w:cstheme="minorHAnsi"/>
          <w:b/>
          <w:bCs/>
        </w:rPr>
        <w:t>Thermisch leitender EMI-Absorber</w:t>
      </w:r>
      <w:r w:rsidRPr="00573221">
        <w:rPr>
          <w:rFonts w:ascii="Titillium" w:hAnsi="Titillium" w:cstheme="minorHAnsi"/>
          <w:b/>
          <w:bCs/>
        </w:rPr>
        <w:t xml:space="preserve"> / TC</w:t>
      </w:r>
      <w:r w:rsidR="00F242CE">
        <w:rPr>
          <w:rFonts w:ascii="Titillium" w:hAnsi="Titillium" w:cstheme="minorHAnsi"/>
          <w:b/>
          <w:bCs/>
        </w:rPr>
        <w:t>MWA</w:t>
      </w:r>
      <w:r w:rsidRPr="00573221">
        <w:rPr>
          <w:rFonts w:ascii="Titillium" w:hAnsi="Titillium" w:cstheme="minorHAnsi"/>
          <w:b/>
          <w:bCs/>
        </w:rPr>
        <w:t>-Serie“:</w:t>
      </w:r>
    </w:p>
    <w:p w14:paraId="4619B2A6" w14:textId="03D4A0F9" w:rsidR="00FD0A51" w:rsidRDefault="00961A45" w:rsidP="00977FBD">
      <w:pPr>
        <w:rPr>
          <w:rStyle w:val="Hyperlink"/>
          <w:rFonts w:ascii="Titillium" w:hAnsi="Titillium" w:cstheme="minorHAnsi"/>
        </w:rPr>
      </w:pPr>
      <w:hyperlink r:id="rId8" w:history="1">
        <w:r w:rsidR="00F242CE" w:rsidRPr="00213377">
          <w:rPr>
            <w:rStyle w:val="Hyperlink"/>
            <w:rFonts w:ascii="Titillium" w:hAnsi="Titillium" w:cstheme="minorHAnsi"/>
          </w:rPr>
          <w:t>https://www.mtc.de/de/thermisch-leitende-materialien/thermisch-leitende-emi-absorber</w:t>
        </w:r>
      </w:hyperlink>
    </w:p>
    <w:p w14:paraId="5F0695EF" w14:textId="030C3FC9" w:rsidR="00E94447" w:rsidRDefault="00E94447" w:rsidP="00977FBD">
      <w:pPr>
        <w:rPr>
          <w:rStyle w:val="Hyperlink"/>
          <w:rFonts w:ascii="Titillium" w:hAnsi="Titillium" w:cstheme="minorHAnsi"/>
        </w:rPr>
      </w:pPr>
    </w:p>
    <w:p w14:paraId="23A873DD" w14:textId="38B90159" w:rsidR="00213EC9" w:rsidRDefault="00F242CE" w:rsidP="00977FBD">
      <w:pPr>
        <w:rPr>
          <w:rFonts w:ascii="Titillium" w:hAnsi="Titillium" w:cstheme="minorHAnsi"/>
        </w:rPr>
      </w:pPr>
      <w:r>
        <w:rPr>
          <w:rFonts w:ascii="Titillium" w:hAnsi="Titillium" w:cstheme="minorHAnsi"/>
        </w:rPr>
        <w:br w:type="column"/>
      </w:r>
    </w:p>
    <w:p w14:paraId="2C757B90" w14:textId="77777777" w:rsidR="00FE5A01" w:rsidRDefault="00FE5A01" w:rsidP="00977FBD">
      <w:pPr>
        <w:rPr>
          <w:rFonts w:ascii="Titillium" w:hAnsi="Titillium" w:cstheme="minorHAnsi"/>
        </w:rPr>
      </w:pPr>
    </w:p>
    <w:p w14:paraId="06F88C74" w14:textId="469C030B" w:rsidR="00977FBD" w:rsidRPr="00573221" w:rsidRDefault="00FD0A51" w:rsidP="00977FBD">
      <w:pPr>
        <w:rPr>
          <w:rFonts w:ascii="Titillium" w:hAnsi="Titillium" w:cstheme="minorHAnsi"/>
          <w:b/>
          <w:bCs/>
        </w:rPr>
      </w:pPr>
      <w:r w:rsidRPr="00573221">
        <w:rPr>
          <w:rFonts w:ascii="Titillium" w:hAnsi="Titillium" w:cstheme="minorHAnsi"/>
          <w:b/>
          <w:bCs/>
        </w:rPr>
        <w:t xml:space="preserve">Alle Vorteile </w:t>
      </w:r>
      <w:r w:rsidR="00E1375C" w:rsidRPr="00573221">
        <w:rPr>
          <w:rFonts w:ascii="Titillium" w:hAnsi="Titillium" w:cstheme="minorHAnsi"/>
          <w:b/>
          <w:bCs/>
        </w:rPr>
        <w:t>der TC</w:t>
      </w:r>
      <w:r w:rsidR="00F242CE">
        <w:rPr>
          <w:rFonts w:ascii="Titillium" w:hAnsi="Titillium" w:cstheme="minorHAnsi"/>
          <w:b/>
          <w:bCs/>
        </w:rPr>
        <w:t>MWA</w:t>
      </w:r>
      <w:r w:rsidR="00E1375C" w:rsidRPr="00573221">
        <w:rPr>
          <w:rFonts w:ascii="Titillium" w:hAnsi="Titillium" w:cstheme="minorHAnsi"/>
          <w:b/>
          <w:bCs/>
        </w:rPr>
        <w:t xml:space="preserve">-Serie </w:t>
      </w:r>
      <w:r w:rsidRPr="00573221">
        <w:rPr>
          <w:rFonts w:ascii="Titillium" w:hAnsi="Titillium" w:cstheme="minorHAnsi"/>
          <w:b/>
          <w:bCs/>
        </w:rPr>
        <w:t>auf einen Blick</w:t>
      </w:r>
      <w:r w:rsidR="00B16080" w:rsidRPr="00573221">
        <w:rPr>
          <w:rFonts w:ascii="Titillium" w:hAnsi="Titillium" w:cstheme="minorHAnsi"/>
          <w:b/>
          <w:bCs/>
        </w:rPr>
        <w:t>:</w:t>
      </w:r>
    </w:p>
    <w:p w14:paraId="3AAD06B6" w14:textId="3172557A" w:rsidR="00B16080" w:rsidRPr="00573221" w:rsidRDefault="00B16080" w:rsidP="00977FBD">
      <w:pPr>
        <w:rPr>
          <w:rFonts w:ascii="Titillium" w:hAnsi="Titillium" w:cstheme="minorHAnsi"/>
          <w:b/>
          <w:bCs/>
        </w:rPr>
      </w:pPr>
    </w:p>
    <w:p w14:paraId="061B3BB4"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Thermisch leitender EMI-Absorber</w:t>
      </w:r>
    </w:p>
    <w:p w14:paraId="5DCE1DBD"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Multifunktionales Hybrid-Material</w:t>
      </w:r>
    </w:p>
    <w:p w14:paraId="4757C216" w14:textId="74AE87D4" w:rsidR="00F242CE"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Wärmeleitende und gleichzeitig EMI-dämpfende Eigenschaften</w:t>
      </w:r>
    </w:p>
    <w:p w14:paraId="669DD89C" w14:textId="42B3C2DC" w:rsidR="00E94447" w:rsidRPr="00E94447" w:rsidRDefault="00E94447" w:rsidP="00E94447">
      <w:pPr>
        <w:pStyle w:val="Listenabsatz"/>
        <w:numPr>
          <w:ilvl w:val="0"/>
          <w:numId w:val="8"/>
        </w:numPr>
        <w:jc w:val="both"/>
        <w:rPr>
          <w:rFonts w:ascii="Titillium" w:hAnsi="Titillium" w:cstheme="minorHAnsi"/>
        </w:rPr>
      </w:pPr>
      <w:r w:rsidRPr="00C01F19">
        <w:rPr>
          <w:rFonts w:ascii="Titillium" w:hAnsi="Titillium" w:cstheme="minorHAnsi"/>
        </w:rPr>
        <w:t>Optimales Wärmemanagement elektronischer Bauteile für lange Lebensdauer</w:t>
      </w:r>
    </w:p>
    <w:p w14:paraId="0CBDAB73" w14:textId="525ED8D9"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Wärmeleitfähigkeiten von 2, 3 und 4 W/m*K erhältlich</w:t>
      </w:r>
    </w:p>
    <w:p w14:paraId="0344692B" w14:textId="147A73CB" w:rsidR="00F242CE"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Hervorragende EMI-</w:t>
      </w:r>
      <w:r w:rsidRPr="00FE5A01">
        <w:rPr>
          <w:rFonts w:ascii="Titillium" w:hAnsi="Titillium" w:cstheme="minorHAnsi"/>
        </w:rPr>
        <w:t xml:space="preserve">Dämpfungsleistung bei </w:t>
      </w:r>
      <w:r w:rsidR="00503331" w:rsidRPr="00FE5A01">
        <w:rPr>
          <w:rFonts w:ascii="Titillium" w:hAnsi="Titillium" w:cstheme="minorHAnsi"/>
        </w:rPr>
        <w:t>hohen Frequenzen</w:t>
      </w:r>
    </w:p>
    <w:p w14:paraId="346CAC3A" w14:textId="4658A68D" w:rsidR="00E94447" w:rsidRDefault="00E94447" w:rsidP="00E94447">
      <w:pPr>
        <w:pStyle w:val="Listenabsatz"/>
        <w:numPr>
          <w:ilvl w:val="0"/>
          <w:numId w:val="8"/>
        </w:numPr>
        <w:jc w:val="both"/>
        <w:rPr>
          <w:rFonts w:ascii="Titillium" w:hAnsi="Titillium" w:cstheme="minorHAnsi"/>
        </w:rPr>
      </w:pPr>
      <w:r w:rsidRPr="00C01F19">
        <w:rPr>
          <w:rFonts w:ascii="Titillium" w:hAnsi="Titillium" w:cstheme="minorHAnsi"/>
        </w:rPr>
        <w:t>Verfügbare Materialstärken: 0,5 bis 12 mm</w:t>
      </w:r>
    </w:p>
    <w:p w14:paraId="51FA4E28" w14:textId="7CA3C563" w:rsidR="00E94447" w:rsidRPr="00E94447" w:rsidRDefault="00E94447" w:rsidP="00E94447">
      <w:pPr>
        <w:pStyle w:val="Listenabsatz"/>
        <w:numPr>
          <w:ilvl w:val="0"/>
          <w:numId w:val="8"/>
        </w:numPr>
        <w:spacing w:after="160" w:line="259" w:lineRule="auto"/>
        <w:jc w:val="both"/>
        <w:rPr>
          <w:rFonts w:ascii="Titillium" w:hAnsi="Titillium" w:cstheme="minorHAnsi"/>
        </w:rPr>
      </w:pPr>
      <w:r w:rsidRPr="00C01F19">
        <w:rPr>
          <w:rFonts w:ascii="Titillium" w:hAnsi="Titillium" w:cstheme="minorHAnsi"/>
        </w:rPr>
        <w:t>Arbeitstemperaturbereich -60 bis +180°C</w:t>
      </w:r>
    </w:p>
    <w:p w14:paraId="72835230"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Verbesserte Sicherheit und Leistung der Applikation</w:t>
      </w:r>
    </w:p>
    <w:p w14:paraId="32F4E4CA"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Reduzierter Aufwand und Kosten für EMV-Konformität</w:t>
      </w:r>
    </w:p>
    <w:p w14:paraId="4AE36428"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 xml:space="preserve">Getestet nach UL-94 V0 </w:t>
      </w:r>
    </w:p>
    <w:p w14:paraId="10861E49"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Halogenfrei, RoHS- und REACH-konform</w:t>
      </w:r>
    </w:p>
    <w:p w14:paraId="0444A280"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 xml:space="preserve">Einfache und flexible Handhabung </w:t>
      </w:r>
    </w:p>
    <w:p w14:paraId="581AC305"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 xml:space="preserve">Weiches und </w:t>
      </w:r>
      <w:r>
        <w:rPr>
          <w:rFonts w:ascii="Titillium" w:hAnsi="Titillium" w:cstheme="minorHAnsi"/>
        </w:rPr>
        <w:t>selbsthaftendes</w:t>
      </w:r>
      <w:r w:rsidRPr="00C01F19">
        <w:rPr>
          <w:rFonts w:ascii="Titillium" w:hAnsi="Titillium" w:cstheme="minorHAnsi"/>
        </w:rPr>
        <w:t xml:space="preserve"> Material</w:t>
      </w:r>
    </w:p>
    <w:p w14:paraId="15B86B57"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Abziehbare Schutzfolie auf Vorder- und Rückseite</w:t>
      </w:r>
    </w:p>
    <w:p w14:paraId="5EFA97E2"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Minimale Bauteilbelastung während der Montage</w:t>
      </w:r>
    </w:p>
    <w:p w14:paraId="4EA1AA8B" w14:textId="77777777" w:rsidR="00F242CE" w:rsidRPr="00C01F19" w:rsidRDefault="00F242CE" w:rsidP="00F242CE">
      <w:pPr>
        <w:pStyle w:val="Listenabsatz"/>
        <w:numPr>
          <w:ilvl w:val="0"/>
          <w:numId w:val="8"/>
        </w:numPr>
        <w:jc w:val="both"/>
        <w:rPr>
          <w:rFonts w:ascii="Titillium" w:hAnsi="Titillium" w:cstheme="minorHAnsi"/>
        </w:rPr>
      </w:pPr>
      <w:r w:rsidRPr="00C01F19">
        <w:rPr>
          <w:rFonts w:ascii="Titillium" w:hAnsi="Titillium" w:cstheme="minorHAnsi"/>
        </w:rPr>
        <w:t>Verfügbare Formen: Standardplatten, kundenspezifische Stanzteile, kundenspezifische Formteil</w:t>
      </w:r>
    </w:p>
    <w:p w14:paraId="2AF2DEEA" w14:textId="77777777" w:rsidR="00D22130" w:rsidRPr="00573221" w:rsidRDefault="00D22130" w:rsidP="00D22130">
      <w:pPr>
        <w:pBdr>
          <w:bottom w:val="single" w:sz="6" w:space="1" w:color="auto"/>
        </w:pBdr>
        <w:rPr>
          <w:rFonts w:ascii="Titillium" w:hAnsi="Titillium" w:cstheme="minorHAnsi"/>
        </w:rPr>
      </w:pPr>
    </w:p>
    <w:p w14:paraId="425E80BD" w14:textId="77777777" w:rsidR="00D22130" w:rsidRPr="00573221" w:rsidRDefault="00D22130" w:rsidP="00D22130">
      <w:pPr>
        <w:rPr>
          <w:rFonts w:ascii="Titillium" w:hAnsi="Titillium" w:cstheme="minorHAnsi"/>
        </w:rPr>
      </w:pPr>
    </w:p>
    <w:p w14:paraId="5D062B59" w14:textId="77777777" w:rsidR="00331ACA" w:rsidRPr="00573221" w:rsidRDefault="00331ACA" w:rsidP="00331ACA">
      <w:pPr>
        <w:rPr>
          <w:rFonts w:ascii="Titillium" w:hAnsi="Titillium" w:cstheme="minorHAnsi"/>
        </w:rPr>
      </w:pPr>
      <w:r w:rsidRPr="00573221">
        <w:rPr>
          <w:rFonts w:ascii="Titillium" w:hAnsi="Titillium" w:cstheme="minorHAnsi"/>
          <w:b/>
        </w:rPr>
        <w:t>Bildquellennachweis:</w:t>
      </w:r>
    </w:p>
    <w:p w14:paraId="50B9DD08" w14:textId="2D4750CF" w:rsidR="00331ACA" w:rsidRPr="00FF1CCA" w:rsidRDefault="00DD0F5B" w:rsidP="00331ACA">
      <w:pPr>
        <w:rPr>
          <w:rFonts w:ascii="Titillium" w:hAnsi="Titillium" w:cstheme="minorHAnsi"/>
        </w:rPr>
      </w:pPr>
      <w:r w:rsidRPr="00FF1CCA">
        <w:rPr>
          <w:rFonts w:ascii="Titillium" w:hAnsi="Titillium" w:cstheme="minorHAnsi"/>
        </w:rPr>
        <w:t xml:space="preserve">Produktbilder </w:t>
      </w:r>
      <w:r w:rsidR="00331ACA" w:rsidRPr="00FF1CCA">
        <w:rPr>
          <w:rFonts w:ascii="Titillium" w:hAnsi="Titillium" w:cstheme="minorHAnsi"/>
        </w:rPr>
        <w:t xml:space="preserve">© MTC Micro Tech Components GmbH </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7777777" w:rsidR="00D22130" w:rsidRPr="00573221" w:rsidRDefault="00D22130" w:rsidP="00D22130">
      <w:pPr>
        <w:rPr>
          <w:rFonts w:ascii="Titillium" w:hAnsi="Titillium" w:cstheme="minorHAnsi"/>
        </w:rPr>
      </w:pPr>
    </w:p>
    <w:p w14:paraId="1DB3ABF1" w14:textId="07616649" w:rsidR="00942FF2" w:rsidRPr="00573221" w:rsidRDefault="00942FF2" w:rsidP="00942FF2">
      <w:pPr>
        <w:rPr>
          <w:rFonts w:ascii="Titillium" w:hAnsi="Titillium" w:cstheme="minorHAnsi"/>
          <w:b/>
          <w:bCs/>
        </w:rPr>
      </w:pPr>
      <w:r w:rsidRPr="00573221">
        <w:rPr>
          <w:rFonts w:ascii="Titillium" w:hAnsi="Titillium" w:cstheme="minorHAnsi"/>
          <w:b/>
          <w:bCs/>
        </w:rPr>
        <w:t>Weitere Informationen erhalten Sie bei:</w:t>
      </w:r>
    </w:p>
    <w:p w14:paraId="10D7FBB8" w14:textId="77777777" w:rsidR="00942FF2" w:rsidRPr="00573221" w:rsidRDefault="00942FF2" w:rsidP="00942FF2">
      <w:pPr>
        <w:rPr>
          <w:rFonts w:ascii="Titillium" w:hAnsi="Titillium" w:cstheme="minorHAnsi"/>
        </w:rPr>
      </w:pPr>
    </w:p>
    <w:p w14:paraId="48E07A0A" w14:textId="77777777" w:rsidR="00942FF2" w:rsidRPr="00573221" w:rsidRDefault="00942FF2" w:rsidP="00942FF2">
      <w:pPr>
        <w:rPr>
          <w:rFonts w:ascii="Titillium" w:hAnsi="Titillium" w:cstheme="minorHAnsi"/>
        </w:rPr>
      </w:pPr>
      <w:r w:rsidRPr="00573221">
        <w:rPr>
          <w:rFonts w:ascii="Titillium" w:hAnsi="Titillium" w:cstheme="minorHAnsi"/>
        </w:rPr>
        <w:t>MTC Micro Tech Components GmbH</w:t>
      </w:r>
    </w:p>
    <w:p w14:paraId="66B6B450" w14:textId="77777777" w:rsidR="00942FF2" w:rsidRPr="00573221" w:rsidRDefault="00942FF2" w:rsidP="00942FF2">
      <w:pPr>
        <w:rPr>
          <w:rFonts w:ascii="Titillium" w:hAnsi="Titillium" w:cstheme="minorHAnsi"/>
        </w:rPr>
      </w:pPr>
      <w:r w:rsidRPr="00573221">
        <w:rPr>
          <w:rFonts w:ascii="Titillium" w:hAnsi="Titillium" w:cstheme="minorHAnsi"/>
        </w:rPr>
        <w:t>Hausener Straße 9</w:t>
      </w:r>
    </w:p>
    <w:p w14:paraId="0A30435F" w14:textId="477190A4" w:rsidR="00942FF2" w:rsidRPr="00573221" w:rsidRDefault="00942FF2" w:rsidP="00942FF2">
      <w:pPr>
        <w:rPr>
          <w:rFonts w:ascii="Titillium" w:hAnsi="Titillium" w:cstheme="minorHAnsi"/>
        </w:rPr>
      </w:pPr>
      <w:r w:rsidRPr="00573221">
        <w:rPr>
          <w:rFonts w:ascii="Titillium" w:hAnsi="Titillium" w:cstheme="minorHAnsi"/>
        </w:rPr>
        <w:t>89407 Dillingen</w:t>
      </w:r>
    </w:p>
    <w:p w14:paraId="789552F9" w14:textId="77777777" w:rsidR="00942FF2" w:rsidRPr="00573221" w:rsidRDefault="00942FF2" w:rsidP="00942FF2">
      <w:pPr>
        <w:rPr>
          <w:rFonts w:ascii="Titillium" w:hAnsi="Titillium" w:cstheme="minorHAnsi"/>
        </w:rPr>
      </w:pPr>
      <w:r w:rsidRPr="00573221">
        <w:rPr>
          <w:rFonts w:ascii="Titillium" w:hAnsi="Titillium" w:cstheme="minorHAnsi"/>
        </w:rPr>
        <w:t>Deutschland</w:t>
      </w:r>
    </w:p>
    <w:p w14:paraId="139D14E5" w14:textId="77777777" w:rsidR="00942FF2" w:rsidRPr="00573221" w:rsidRDefault="00942FF2" w:rsidP="00942FF2">
      <w:pPr>
        <w:rPr>
          <w:rFonts w:ascii="Titillium" w:hAnsi="Titillium" w:cstheme="minorHAnsi"/>
        </w:rPr>
      </w:pPr>
    </w:p>
    <w:p w14:paraId="0C37412E" w14:textId="77777777" w:rsidR="00942FF2" w:rsidRPr="00573221" w:rsidRDefault="00942FF2" w:rsidP="00942FF2">
      <w:pPr>
        <w:rPr>
          <w:rFonts w:ascii="Titillium" w:hAnsi="Titillium" w:cstheme="minorHAnsi"/>
        </w:rPr>
      </w:pPr>
      <w:r w:rsidRPr="00573221">
        <w:rPr>
          <w:rFonts w:ascii="Titillium" w:hAnsi="Titillium" w:cstheme="minorHAnsi"/>
        </w:rPr>
        <w:t>Tel:        +49 (0) 9071-7945-0</w:t>
      </w:r>
    </w:p>
    <w:p w14:paraId="3ECC26BA" w14:textId="77777777" w:rsidR="00942FF2" w:rsidRPr="00FF1CCA" w:rsidRDefault="00942FF2" w:rsidP="00942FF2">
      <w:pPr>
        <w:rPr>
          <w:rFonts w:ascii="Titillium" w:hAnsi="Titillium" w:cstheme="minorHAnsi"/>
        </w:rPr>
      </w:pPr>
      <w:r w:rsidRPr="00FF1CCA">
        <w:rPr>
          <w:rFonts w:ascii="Titillium" w:hAnsi="Titillium" w:cstheme="minorHAnsi"/>
        </w:rPr>
        <w:t>Fax:       +49 (0) 9071-7945-20</w:t>
      </w:r>
    </w:p>
    <w:p w14:paraId="51BEC3A1" w14:textId="1C569E20" w:rsidR="00E94447" w:rsidRPr="00FF1CCA" w:rsidRDefault="00942FF2" w:rsidP="00942FF2">
      <w:pPr>
        <w:rPr>
          <w:rFonts w:ascii="Titillium" w:hAnsi="Titillium" w:cstheme="minorHAnsi"/>
        </w:rPr>
      </w:pPr>
      <w:r w:rsidRPr="00FF1CCA">
        <w:rPr>
          <w:rFonts w:ascii="Titillium" w:hAnsi="Titillium" w:cstheme="minorHAnsi"/>
        </w:rPr>
        <w:t xml:space="preserve">Email:    </w:t>
      </w:r>
      <w:hyperlink r:id="rId9" w:history="1">
        <w:r w:rsidR="00E94447" w:rsidRPr="00FF1CCA">
          <w:rPr>
            <w:rStyle w:val="Hyperlink"/>
            <w:rFonts w:ascii="Titillium" w:hAnsi="Titillium" w:cstheme="minorHAnsi"/>
          </w:rPr>
          <w:t>info@mtc.de</w:t>
        </w:r>
      </w:hyperlink>
    </w:p>
    <w:p w14:paraId="127173BE" w14:textId="7227680A" w:rsidR="00942FF2" w:rsidRPr="00FF1CCA" w:rsidRDefault="00942FF2" w:rsidP="00977FBD">
      <w:pPr>
        <w:rPr>
          <w:rFonts w:ascii="Titillium" w:hAnsi="Titillium" w:cstheme="minorHAnsi"/>
        </w:rPr>
      </w:pPr>
      <w:r w:rsidRPr="00FF1CCA">
        <w:rPr>
          <w:rFonts w:ascii="Titillium" w:hAnsi="Titillium" w:cstheme="minorHAnsi"/>
        </w:rPr>
        <w:t xml:space="preserve">Web:     </w:t>
      </w:r>
      <w:hyperlink r:id="rId10" w:history="1">
        <w:r w:rsidR="00E94447" w:rsidRPr="00FF1CCA">
          <w:rPr>
            <w:rStyle w:val="Hyperlink"/>
            <w:rFonts w:ascii="Titillium" w:hAnsi="Titillium" w:cstheme="minorHAnsi"/>
          </w:rPr>
          <w:t>www.mtc.de</w:t>
        </w:r>
      </w:hyperlink>
    </w:p>
    <w:p w14:paraId="28CAAD9B" w14:textId="3212210D" w:rsidR="00D22130" w:rsidRDefault="00D22130" w:rsidP="00977FBD">
      <w:pPr>
        <w:rPr>
          <w:rFonts w:ascii="Titillium" w:hAnsi="Titillium" w:cstheme="minorHAnsi"/>
          <w:b/>
          <w:bCs/>
        </w:rPr>
      </w:pPr>
      <w:r>
        <w:rPr>
          <w:rFonts w:ascii="Titillium" w:hAnsi="Titillium" w:cstheme="minorHAnsi"/>
          <w:b/>
          <w:bCs/>
        </w:rPr>
        <w:br w:type="column"/>
      </w:r>
    </w:p>
    <w:p w14:paraId="7C8AAC1D" w14:textId="77777777" w:rsidR="00FE5A01" w:rsidRDefault="00FE5A01" w:rsidP="00977FBD">
      <w:pPr>
        <w:rPr>
          <w:rFonts w:ascii="Titillium" w:hAnsi="Titillium" w:cstheme="minorHAnsi"/>
          <w:b/>
          <w:bCs/>
        </w:rPr>
      </w:pPr>
    </w:p>
    <w:p w14:paraId="2EFF8AFB" w14:textId="0272D939" w:rsidR="00977FBD" w:rsidRPr="00573221" w:rsidRDefault="00977FBD" w:rsidP="00977FBD">
      <w:pPr>
        <w:rPr>
          <w:rFonts w:ascii="Titillium" w:hAnsi="Titillium" w:cstheme="minorHAnsi"/>
          <w:b/>
          <w:bCs/>
        </w:rPr>
      </w:pPr>
      <w:r w:rsidRPr="00573221">
        <w:rPr>
          <w:rFonts w:ascii="Titillium" w:hAnsi="Titillium" w:cstheme="minorHAnsi"/>
          <w:b/>
          <w:bCs/>
        </w:rPr>
        <w:t>Pressekontakt:</w:t>
      </w:r>
    </w:p>
    <w:p w14:paraId="2A09430D" w14:textId="77777777" w:rsidR="00977FBD" w:rsidRPr="00573221" w:rsidRDefault="00977FBD" w:rsidP="00977FBD">
      <w:pPr>
        <w:rPr>
          <w:rFonts w:ascii="Titillium" w:hAnsi="Titillium" w:cstheme="minorHAnsi"/>
        </w:rPr>
      </w:pPr>
    </w:p>
    <w:p w14:paraId="713A5A06" w14:textId="77777777" w:rsidR="00977FBD" w:rsidRPr="00573221" w:rsidRDefault="00977FBD" w:rsidP="00977FBD">
      <w:pPr>
        <w:rPr>
          <w:rFonts w:ascii="Titillium" w:hAnsi="Titillium" w:cstheme="minorHAnsi"/>
        </w:rPr>
      </w:pPr>
      <w:r w:rsidRPr="00573221">
        <w:rPr>
          <w:rFonts w:ascii="Titillium" w:hAnsi="Titillium" w:cstheme="minorHAnsi"/>
        </w:rPr>
        <w:t>Frau Birgit Wünschmann</w:t>
      </w:r>
    </w:p>
    <w:p w14:paraId="2D276BDC" w14:textId="1396EAB0" w:rsidR="00977FBD" w:rsidRPr="00FF1CCA" w:rsidRDefault="00977FBD" w:rsidP="00977FBD">
      <w:pPr>
        <w:rPr>
          <w:rFonts w:ascii="Titillium" w:hAnsi="Titillium" w:cstheme="minorHAnsi"/>
          <w:lang w:val="en-US"/>
        </w:rPr>
      </w:pPr>
      <w:r w:rsidRPr="00FF1CCA">
        <w:rPr>
          <w:rFonts w:ascii="Titillium" w:hAnsi="Titillium" w:cstheme="minorHAnsi"/>
          <w:lang w:val="en-US"/>
        </w:rPr>
        <w:t>Marketing Communication Manager</w:t>
      </w:r>
    </w:p>
    <w:p w14:paraId="20EC87EE" w14:textId="77777777" w:rsidR="00977FBD" w:rsidRPr="00FF1CCA" w:rsidRDefault="00977FBD" w:rsidP="00977FBD">
      <w:pPr>
        <w:rPr>
          <w:rFonts w:ascii="Titillium" w:hAnsi="Titillium" w:cstheme="minorHAnsi"/>
          <w:lang w:val="en-US"/>
        </w:rPr>
      </w:pPr>
    </w:p>
    <w:p w14:paraId="54B8BC6D" w14:textId="59DF34FA" w:rsidR="00977FBD" w:rsidRPr="00FF1CCA" w:rsidRDefault="00977FBD" w:rsidP="00977FBD">
      <w:pPr>
        <w:rPr>
          <w:rFonts w:ascii="Titillium" w:hAnsi="Titillium" w:cstheme="minorHAnsi"/>
          <w:lang w:val="en-US"/>
        </w:rPr>
      </w:pPr>
      <w:r w:rsidRPr="00FF1CCA">
        <w:rPr>
          <w:rFonts w:ascii="Titillium" w:hAnsi="Titillium" w:cstheme="minorHAnsi"/>
          <w:lang w:val="en-US"/>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0DB930BB" w:rsidR="00977FBD" w:rsidRPr="00573221" w:rsidRDefault="00977FBD" w:rsidP="00977FBD">
      <w:pPr>
        <w:rPr>
          <w:rFonts w:ascii="Titillium" w:hAnsi="Titillium" w:cstheme="minorHAnsi"/>
        </w:rPr>
      </w:pPr>
      <w:r w:rsidRPr="00573221">
        <w:rPr>
          <w:rFonts w:ascii="Titillium" w:hAnsi="Titillium" w:cstheme="minorHAnsi"/>
        </w:rPr>
        <w:t>89407 Dillingen</w:t>
      </w:r>
    </w:p>
    <w:p w14:paraId="41D51073" w14:textId="14E6B3F3" w:rsidR="00977FBD" w:rsidRPr="00573221" w:rsidRDefault="00977FBD" w:rsidP="00977FBD">
      <w:pPr>
        <w:rPr>
          <w:rFonts w:ascii="Titillium" w:hAnsi="Titillium" w:cstheme="minorHAnsi"/>
        </w:rPr>
      </w:pPr>
      <w:r w:rsidRPr="00573221">
        <w:rPr>
          <w:rFonts w:ascii="Titillium" w:hAnsi="Titillium" w:cstheme="minorHAnsi"/>
        </w:rPr>
        <w:t>Deutschland</w:t>
      </w:r>
    </w:p>
    <w:p w14:paraId="71923D67" w14:textId="77777777" w:rsidR="00977FBD" w:rsidRPr="00573221" w:rsidRDefault="00977FBD" w:rsidP="00977FBD">
      <w:pPr>
        <w:rPr>
          <w:rFonts w:ascii="Titillium" w:hAnsi="Titillium" w:cstheme="minorHAnsi"/>
        </w:rPr>
      </w:pPr>
    </w:p>
    <w:p w14:paraId="25E4EDDC" w14:textId="77777777"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444E7D14" w:rsidR="00977FBD" w:rsidRDefault="00977FBD" w:rsidP="00977FBD">
      <w:pPr>
        <w:rPr>
          <w:rFonts w:ascii="Titillium" w:hAnsi="Titillium" w:cstheme="minorHAnsi"/>
          <w:lang w:val="en-US"/>
        </w:rPr>
      </w:pPr>
      <w:r w:rsidRPr="00573221">
        <w:rPr>
          <w:rFonts w:ascii="Titillium" w:hAnsi="Titillium" w:cstheme="minorHAnsi"/>
          <w:lang w:val="en-US"/>
        </w:rPr>
        <w:t xml:space="preserve">Email:    </w:t>
      </w:r>
      <w:hyperlink r:id="rId11" w:history="1">
        <w:r w:rsidR="00E94447" w:rsidRPr="003E21F8">
          <w:rPr>
            <w:rStyle w:val="Hyperlink"/>
            <w:rFonts w:ascii="Titillium" w:hAnsi="Titillium" w:cstheme="minorHAnsi"/>
            <w:lang w:val="en-US"/>
          </w:rPr>
          <w:t>birgit.wuenschmann@mtc.de</w:t>
        </w:r>
      </w:hyperlink>
    </w:p>
    <w:p w14:paraId="7CB84E66" w14:textId="219E2D0A" w:rsidR="00D22130" w:rsidRPr="00FF1CCA" w:rsidRDefault="00977FBD" w:rsidP="00977FBD">
      <w:pPr>
        <w:rPr>
          <w:rStyle w:val="Hyperlink"/>
          <w:rFonts w:ascii="Titillium" w:hAnsi="Titillium" w:cstheme="minorHAnsi"/>
          <w:lang w:val="en-US"/>
        </w:rPr>
      </w:pPr>
      <w:r w:rsidRPr="00FF1CCA">
        <w:rPr>
          <w:rFonts w:ascii="Titillium" w:hAnsi="Titillium" w:cstheme="minorHAnsi"/>
          <w:lang w:val="en-US"/>
        </w:rPr>
        <w:t xml:space="preserve">Web:     </w:t>
      </w:r>
      <w:hyperlink r:id="rId12" w:history="1">
        <w:r w:rsidR="00D22130" w:rsidRPr="00FF1CCA">
          <w:rPr>
            <w:rStyle w:val="Hyperlink"/>
            <w:rFonts w:ascii="Titillium" w:hAnsi="Titillium" w:cstheme="minorHAnsi"/>
            <w:lang w:val="en-US"/>
          </w:rPr>
          <w:t>www.mtc.de</w:t>
        </w:r>
      </w:hyperlink>
    </w:p>
    <w:p w14:paraId="4BE24394" w14:textId="77777777" w:rsidR="00FE5A01" w:rsidRPr="00FF1CCA" w:rsidRDefault="00FE5A01" w:rsidP="00FE5A01">
      <w:pPr>
        <w:pBdr>
          <w:bottom w:val="single" w:sz="6" w:space="1" w:color="auto"/>
        </w:pBdr>
        <w:rPr>
          <w:rFonts w:ascii="Titillium" w:hAnsi="Titillium" w:cstheme="minorHAnsi"/>
          <w:lang w:val="en-US"/>
        </w:rPr>
      </w:pPr>
    </w:p>
    <w:p w14:paraId="424754DD" w14:textId="77777777" w:rsidR="00FE5A01" w:rsidRPr="00FF1CCA" w:rsidRDefault="00FE5A01" w:rsidP="00FE5A01">
      <w:pPr>
        <w:rPr>
          <w:rFonts w:ascii="Titillium" w:hAnsi="Titillium" w:cstheme="minorHAnsi"/>
          <w:b/>
          <w:bCs/>
          <w:lang w:val="en-US"/>
        </w:rPr>
      </w:pPr>
      <w:r w:rsidRPr="00FF1CCA">
        <w:rPr>
          <w:rFonts w:ascii="Titillium" w:hAnsi="Titillium" w:cstheme="minorHAnsi"/>
          <w:lang w:val="en-US"/>
        </w:rPr>
        <w:br/>
      </w:r>
      <w:proofErr w:type="spellStart"/>
      <w:r w:rsidRPr="00FF1CCA">
        <w:rPr>
          <w:rFonts w:ascii="Titillium" w:hAnsi="Titillium" w:cstheme="minorHAnsi"/>
          <w:b/>
          <w:bCs/>
          <w:lang w:val="en-US"/>
        </w:rPr>
        <w:t>Unternehmensprofil</w:t>
      </w:r>
      <w:proofErr w:type="spellEnd"/>
      <w:r w:rsidRPr="00FF1CCA">
        <w:rPr>
          <w:rFonts w:ascii="Titillium" w:hAnsi="Titillium" w:cstheme="minorHAnsi"/>
          <w:b/>
          <w:bCs/>
          <w:lang w:val="en-US"/>
        </w:rPr>
        <w:t xml:space="preserve"> MTC Micro Tech Components GmbH:</w:t>
      </w:r>
    </w:p>
    <w:p w14:paraId="458F82CB" w14:textId="77777777" w:rsidR="00FE5A01" w:rsidRPr="00FF1CCA" w:rsidRDefault="00FE5A01" w:rsidP="00FE5A01">
      <w:pPr>
        <w:rPr>
          <w:rFonts w:ascii="Titillium" w:hAnsi="Titillium" w:cstheme="minorHAnsi"/>
          <w:lang w:val="en-US"/>
        </w:rPr>
      </w:pPr>
    </w:p>
    <w:p w14:paraId="2D997DCA"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Spezialisierter Komplettanbieter</w:t>
      </w:r>
    </w:p>
    <w:p w14:paraId="747B724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3EDB8A46"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Seit der Gründung im Jahr 1992 verzeichnet das Unternehmen ein stetiges Wachstum und agiert mittlerweile international als versierter Komplettanbieter von EMV</w:t>
      </w:r>
      <w:r w:rsidRPr="00573221">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075464BE"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Seit Oktober 2011 gehört MTC zum weltweit operierenden Konzern </w:t>
      </w:r>
      <w:proofErr w:type="spellStart"/>
      <w:r w:rsidRPr="00573221">
        <w:rPr>
          <w:rFonts w:ascii="Titillium" w:hAnsi="Titillium" w:cstheme="minorHAnsi"/>
        </w:rPr>
        <w:t>discoverIE</w:t>
      </w:r>
      <w:proofErr w:type="spellEnd"/>
      <w:r w:rsidRPr="00573221">
        <w:rPr>
          <w:rFonts w:ascii="Titillium" w:hAnsi="Titillium" w:cstheme="minorHAnsi"/>
        </w:rPr>
        <w:t xml:space="preserve"> Group </w:t>
      </w:r>
      <w:proofErr w:type="spellStart"/>
      <w:r w:rsidRPr="00573221">
        <w:rPr>
          <w:rFonts w:ascii="Titillium" w:hAnsi="Titillium" w:cstheme="minorHAnsi"/>
        </w:rPr>
        <w:t>plc</w:t>
      </w:r>
      <w:proofErr w:type="spellEnd"/>
      <w:r w:rsidRPr="00573221">
        <w:rPr>
          <w:rFonts w:ascii="Titillium" w:hAnsi="Titillium" w:cstheme="minorHAnsi"/>
        </w:rPr>
        <w:t>, einem international führenden Anbieter kundenspezifischer Elektroniken. MTC ist ein eigenständiges Unternehmen innerhalb der Gruppe. Dank der Synergien mit dem britischen Konzern baut MTC seine internationale Präsenz auch in Zukunft weiter aus.</w:t>
      </w:r>
    </w:p>
    <w:p w14:paraId="4BA9812C" w14:textId="77777777" w:rsidR="00FE5A01" w:rsidRPr="00573221" w:rsidRDefault="00FE5A01" w:rsidP="00FE5A01">
      <w:pPr>
        <w:rPr>
          <w:rFonts w:ascii="Titillium" w:hAnsi="Titillium" w:cstheme="minorHAnsi"/>
        </w:rPr>
      </w:pPr>
    </w:p>
    <w:p w14:paraId="40CD5F02" w14:textId="77777777" w:rsidR="00FE5A01" w:rsidRDefault="00FE5A01" w:rsidP="00FE5A01">
      <w:pPr>
        <w:spacing w:line="276" w:lineRule="auto"/>
        <w:jc w:val="both"/>
        <w:rPr>
          <w:rFonts w:ascii="Titillium" w:hAnsi="Titillium" w:cstheme="minorHAnsi"/>
          <w:b/>
          <w:bCs/>
        </w:rPr>
      </w:pPr>
      <w:r>
        <w:rPr>
          <w:rFonts w:ascii="Titillium" w:hAnsi="Titillium" w:cstheme="minorHAnsi"/>
          <w:b/>
          <w:bCs/>
        </w:rPr>
        <w:br w:type="column"/>
      </w:r>
    </w:p>
    <w:p w14:paraId="21C2AA64" w14:textId="77777777" w:rsidR="00FE5A01" w:rsidRDefault="00FE5A01" w:rsidP="00FE5A01">
      <w:pPr>
        <w:spacing w:line="276" w:lineRule="auto"/>
        <w:jc w:val="both"/>
        <w:rPr>
          <w:rFonts w:ascii="Titillium" w:hAnsi="Titillium" w:cstheme="minorHAnsi"/>
          <w:b/>
          <w:bCs/>
        </w:rPr>
      </w:pPr>
    </w:p>
    <w:p w14:paraId="440F8FED" w14:textId="77777777" w:rsidR="00FE5A01" w:rsidRPr="00573221" w:rsidRDefault="00FE5A01" w:rsidP="00FE5A01">
      <w:pPr>
        <w:spacing w:line="276" w:lineRule="auto"/>
        <w:jc w:val="both"/>
        <w:rPr>
          <w:rFonts w:ascii="Titillium" w:hAnsi="Titillium" w:cstheme="minorHAnsi"/>
          <w:b/>
          <w:bCs/>
        </w:rPr>
      </w:pPr>
      <w:r w:rsidRPr="00573221">
        <w:rPr>
          <w:rFonts w:ascii="Titillium" w:hAnsi="Titillium" w:cstheme="minorHAnsi"/>
          <w:b/>
          <w:bCs/>
        </w:rPr>
        <w:t>Maßgeschneiderte Individuallösungen für den internationalen Markt</w:t>
      </w:r>
    </w:p>
    <w:p w14:paraId="24114985"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Neben dem Hauptsitz in Dillingen a. d. Donau unterhält MTC noch ein Vertriebsbüro in Hongkong sowie Produktionsstätten in Südkorea und Dillingen.</w:t>
      </w:r>
    </w:p>
    <w:p w14:paraId="463E45AA"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5E03562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410C4C37" w14:textId="77777777" w:rsidR="00FE5A01" w:rsidRPr="00573221" w:rsidRDefault="00FE5A01" w:rsidP="00FE5A01">
      <w:pPr>
        <w:rPr>
          <w:rFonts w:ascii="Titillium" w:hAnsi="Titillium" w:cstheme="minorHAnsi"/>
        </w:rPr>
      </w:pPr>
    </w:p>
    <w:p w14:paraId="0FD4A91C" w14:textId="77777777" w:rsidR="00FE5A01" w:rsidRPr="00573221" w:rsidRDefault="00FE5A01" w:rsidP="00FE5A01">
      <w:pPr>
        <w:spacing w:line="276" w:lineRule="auto"/>
        <w:rPr>
          <w:rFonts w:ascii="Titillium" w:hAnsi="Titillium" w:cstheme="minorHAnsi"/>
          <w:b/>
          <w:bCs/>
        </w:rPr>
      </w:pPr>
      <w:r w:rsidRPr="00573221">
        <w:rPr>
          <w:rFonts w:ascii="Titillium" w:hAnsi="Titillium" w:cstheme="minorHAnsi"/>
          <w:b/>
          <w:bCs/>
        </w:rPr>
        <w:t>Unternehmensgrundsätze und soziales Engagement</w:t>
      </w:r>
    </w:p>
    <w:p w14:paraId="6C68437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6F0A064"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084601DC" w14:textId="77777777" w:rsidR="00FE5A01" w:rsidRPr="00573221" w:rsidRDefault="00FE5A01" w:rsidP="00FE5A01">
      <w:pPr>
        <w:spacing w:line="276" w:lineRule="auto"/>
        <w:jc w:val="both"/>
        <w:rPr>
          <w:rFonts w:ascii="Titillium" w:hAnsi="Titillium" w:cstheme="minorHAnsi"/>
        </w:rPr>
      </w:pPr>
    </w:p>
    <w:p w14:paraId="00C20D32" w14:textId="77777777" w:rsidR="00FE5A01" w:rsidRPr="00573221" w:rsidRDefault="00FE5A01" w:rsidP="00FE5A01">
      <w:pPr>
        <w:spacing w:line="276" w:lineRule="auto"/>
        <w:jc w:val="both"/>
        <w:rPr>
          <w:rFonts w:ascii="Titillium" w:hAnsi="Titillium" w:cstheme="minorHAnsi"/>
        </w:rPr>
      </w:pPr>
      <w:r w:rsidRPr="00573221">
        <w:rPr>
          <w:rFonts w:ascii="Titillium" w:hAnsi="Titillium" w:cstheme="minorHAnsi"/>
        </w:rPr>
        <w:t>MTC ist zertifiziert nach ISO 9001 und ISO 14001 und erfüllt damit alle Auflagen für ein umweltgerecht geführtes Unternehmen.</w:t>
      </w:r>
    </w:p>
    <w:p w14:paraId="4C329746" w14:textId="77777777" w:rsidR="00FE5A01" w:rsidRDefault="00FE5A01" w:rsidP="00977FBD">
      <w:pPr>
        <w:rPr>
          <w:rFonts w:ascii="Titillium" w:hAnsi="Titillium" w:cstheme="minorHAnsi"/>
        </w:rPr>
      </w:pPr>
    </w:p>
    <w:sectPr w:rsidR="00FE5A0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70F1FCA0" w:rsidR="006900F1" w:rsidRDefault="00961A45">
    <w:pPr>
      <w:pStyle w:val="Fuzeile"/>
    </w:pPr>
    <w:r>
      <w:rPr>
        <w:noProof/>
      </w:rPr>
      <w:drawing>
        <wp:inline distT="0" distB="0" distL="0" distR="0" wp14:anchorId="49B23E75" wp14:editId="0E7580DC">
          <wp:extent cx="575310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708A0"/>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AAB"/>
    <w:rsid w:val="004810E3"/>
    <w:rsid w:val="004815DB"/>
    <w:rsid w:val="0048334A"/>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03331"/>
    <w:rsid w:val="00510DC3"/>
    <w:rsid w:val="005140D1"/>
    <w:rsid w:val="00517873"/>
    <w:rsid w:val="0053050F"/>
    <w:rsid w:val="00530805"/>
    <w:rsid w:val="00531ADF"/>
    <w:rsid w:val="00535C09"/>
    <w:rsid w:val="00551DC9"/>
    <w:rsid w:val="00561907"/>
    <w:rsid w:val="005656D5"/>
    <w:rsid w:val="005668FB"/>
    <w:rsid w:val="005704B3"/>
    <w:rsid w:val="00570F39"/>
    <w:rsid w:val="00571E27"/>
    <w:rsid w:val="00573221"/>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61A45"/>
    <w:rsid w:val="00970808"/>
    <w:rsid w:val="00977FBD"/>
    <w:rsid w:val="00992728"/>
    <w:rsid w:val="009A69E0"/>
    <w:rsid w:val="009B1A75"/>
    <w:rsid w:val="009B7809"/>
    <w:rsid w:val="009D2285"/>
    <w:rsid w:val="009D5037"/>
    <w:rsid w:val="009E3CE8"/>
    <w:rsid w:val="009E455C"/>
    <w:rsid w:val="00A01169"/>
    <w:rsid w:val="00A015C4"/>
    <w:rsid w:val="00A0589A"/>
    <w:rsid w:val="00A169AF"/>
    <w:rsid w:val="00A26EF1"/>
    <w:rsid w:val="00A27C67"/>
    <w:rsid w:val="00A32D4E"/>
    <w:rsid w:val="00A33A00"/>
    <w:rsid w:val="00A36A19"/>
    <w:rsid w:val="00A574BD"/>
    <w:rsid w:val="00A64AD4"/>
    <w:rsid w:val="00A65A07"/>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E0B4A"/>
    <w:rsid w:val="00BF79BB"/>
    <w:rsid w:val="00C12614"/>
    <w:rsid w:val="00C27366"/>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B9E"/>
    <w:rsid w:val="00CE261E"/>
    <w:rsid w:val="00CE7882"/>
    <w:rsid w:val="00CF50D8"/>
    <w:rsid w:val="00CF6D16"/>
    <w:rsid w:val="00CF75AF"/>
    <w:rsid w:val="00D14324"/>
    <w:rsid w:val="00D1654B"/>
    <w:rsid w:val="00D20124"/>
    <w:rsid w:val="00D22130"/>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94447"/>
    <w:rsid w:val="00EA08A0"/>
    <w:rsid w:val="00EA2169"/>
    <w:rsid w:val="00EA47CB"/>
    <w:rsid w:val="00EB3DF5"/>
    <w:rsid w:val="00EB4BE9"/>
    <w:rsid w:val="00EB52A9"/>
    <w:rsid w:val="00EC2467"/>
    <w:rsid w:val="00EC4857"/>
    <w:rsid w:val="00ED3B0A"/>
    <w:rsid w:val="00EE01A4"/>
    <w:rsid w:val="00EF1D79"/>
    <w:rsid w:val="00F027E1"/>
    <w:rsid w:val="00F242CE"/>
    <w:rsid w:val="00F24A39"/>
    <w:rsid w:val="00F34F10"/>
    <w:rsid w:val="00F4188D"/>
    <w:rsid w:val="00F452E7"/>
    <w:rsid w:val="00F56010"/>
    <w:rsid w:val="00F6325E"/>
    <w:rsid w:val="00F65D2A"/>
    <w:rsid w:val="00F82B67"/>
    <w:rsid w:val="00F87ACF"/>
    <w:rsid w:val="00F92A68"/>
    <w:rsid w:val="00FB218F"/>
    <w:rsid w:val="00FB5AB4"/>
    <w:rsid w:val="00FB7D2A"/>
    <w:rsid w:val="00FC2BCA"/>
    <w:rsid w:val="00FC4950"/>
    <w:rsid w:val="00FD0A51"/>
    <w:rsid w:val="00FD148D"/>
    <w:rsid w:val="00FE5A01"/>
    <w:rsid w:val="00FE7DAA"/>
    <w:rsid w:val="00FF00C4"/>
    <w:rsid w:val="00FF1CCA"/>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521A95"/>
  <w15:docId w15:val="{6FFBD54D-DF64-4D1D-90C3-6554B66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de/thermisch-leitende-materialien/thermisch-leitende-emi-absorb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hyperlink" Target="http://www.mtc.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wuenschmann@mtc.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tc.de" TargetMode="External"/><Relationship Id="rId4" Type="http://schemas.openxmlformats.org/officeDocument/2006/relationships/webSettings" Target="webSettings.xml"/><Relationship Id="rId9" Type="http://schemas.openxmlformats.org/officeDocument/2006/relationships/hyperlink" Target="mailto:info@mtc.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11</cp:revision>
  <cp:lastPrinted>2021-10-15T07:02:00Z</cp:lastPrinted>
  <dcterms:created xsi:type="dcterms:W3CDTF">2021-08-11T07:26:00Z</dcterms:created>
  <dcterms:modified xsi:type="dcterms:W3CDTF">2021-10-15T07:52:00Z</dcterms:modified>
</cp:coreProperties>
</file>